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 w:rsidP="0064583F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T.C İSTANBUL KÜLTÜR ÜNİVERSİTESİ ERASMUS+</w:t>
            </w:r>
            <w:r w:rsidR="00E44AA4">
              <w:rPr>
                <w:b/>
                <w:sz w:val="19"/>
              </w:rPr>
              <w:t xml:space="preserve"> KA1</w:t>
            </w:r>
            <w:r w:rsidR="0064583F">
              <w:rPr>
                <w:b/>
                <w:sz w:val="19"/>
              </w:rPr>
              <w:t>3</w:t>
            </w:r>
            <w:r w:rsidR="00E44AA4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 xml:space="preserve"> PERSONEL HAREKETLİLİĞİ</w:t>
            </w:r>
          </w:p>
          <w:p w:rsidR="00B846E0" w:rsidRDefault="00F6602C" w:rsidP="0064583F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BAŞVURU FORMU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İstanbul Kültür Üniversitesi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F6602C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:rsidR="00B846E0" w:rsidRDefault="00F6602C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  <w:r w:rsidR="00BD39FB">
              <w:rPr>
                <w:sz w:val="19"/>
              </w:rPr>
              <w:t xml:space="preserve"> Evet ise </w:t>
            </w:r>
            <w:r w:rsidR="00B95074">
              <w:rPr>
                <w:sz w:val="19"/>
              </w:rPr>
              <w:t>hareketlilik sayısı</w:t>
            </w:r>
            <w:r w:rsidR="00BD39FB">
              <w:rPr>
                <w:sz w:val="19"/>
              </w:rPr>
              <w:t>?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  <w:p w:rsidR="00BD39FB" w:rsidRDefault="00B95074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□1   □2    □3     □4 ve fazla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E0"/>
    <w:rsid w:val="00304EA5"/>
    <w:rsid w:val="00554B9A"/>
    <w:rsid w:val="0064583F"/>
    <w:rsid w:val="00B846E0"/>
    <w:rsid w:val="00B95074"/>
    <w:rsid w:val="00BD39FB"/>
    <w:rsid w:val="00E44AA4"/>
    <w:rsid w:val="00E9773E"/>
    <w:rsid w:val="00EC1977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689E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İlkim Abdüsselamoğlu</cp:lastModifiedBy>
  <cp:revision>9</cp:revision>
  <dcterms:created xsi:type="dcterms:W3CDTF">2018-09-18T09:03:00Z</dcterms:created>
  <dcterms:modified xsi:type="dcterms:W3CDTF">2021-12-14T12:13:00Z</dcterms:modified>
</cp:coreProperties>
</file>